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New Graduation Requirements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i w:val="1"/>
          <w:sz w:val="24"/>
          <w:szCs w:val="24"/>
        </w:rPr>
      </w:pPr>
      <w:r w:rsidDel="00000000" w:rsidR="00000000" w:rsidRPr="00000000">
        <w:rPr>
          <w:b w:val="1"/>
          <w:i w:val="1"/>
          <w:sz w:val="24"/>
          <w:szCs w:val="24"/>
          <w:rtl w:val="0"/>
        </w:rPr>
        <w:t xml:space="preserve">Two Courses Approved by Local Governance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These courses were selected for possible approval because they align with ECRA’s mission and vision.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STEAAM Course </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#1 Advanced Career- Nature of Science &amp; Technology </w:t>
      </w:r>
    </w:p>
    <w:p w:rsidR="00000000" w:rsidDel="00000000" w:rsidP="00000000" w:rsidRDefault="00000000" w:rsidRPr="00000000" w14:paraId="0000000B">
      <w:pPr>
        <w:rPr>
          <w:b w:val="1"/>
          <w:color w:val="888888"/>
          <w:highlight w:val="white"/>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380"/>
        <w:gridCol w:w="105"/>
        <w:gridCol w:w="105"/>
        <w:gridCol w:w="4020"/>
        <w:gridCol w:w="375"/>
        <w:gridCol w:w="405"/>
        <w:gridCol w:w="105"/>
        <w:gridCol w:w="105"/>
        <w:gridCol w:w="105"/>
        <w:gridCol w:w="1020"/>
        <w:gridCol w:w="1185"/>
        <w:tblGridChange w:id="0">
          <w:tblGrid>
            <w:gridCol w:w="450"/>
            <w:gridCol w:w="1380"/>
            <w:gridCol w:w="105"/>
            <w:gridCol w:w="105"/>
            <w:gridCol w:w="4020"/>
            <w:gridCol w:w="375"/>
            <w:gridCol w:w="405"/>
            <w:gridCol w:w="105"/>
            <w:gridCol w:w="105"/>
            <w:gridCol w:w="105"/>
            <w:gridCol w:w="1020"/>
            <w:gridCol w:w="1185"/>
          </w:tblGrid>
        </w:tblGridChange>
      </w:tblGrid>
      <w:tr>
        <w:trPr>
          <w:cantSplit w:val="0"/>
          <w:trHeight w:val="2160" w:hRule="atLeast"/>
          <w:tblHeader w:val="0"/>
        </w:trPr>
        <w:tc>
          <w:tcPr>
            <w:tcBorders>
              <w:top w:color="d3d3d3" w:space="0" w:sz="4" w:val="single"/>
              <w:left w:color="d3d3d3" w:space="0" w:sz="4" w:val="single"/>
              <w:bottom w:color="d3d3d3" w:space="0" w:sz="4" w:val="single"/>
              <w:right w:color="d3d3d3" w:space="0" w:sz="4" w:val="single"/>
            </w:tcBorders>
            <w:tcMar>
              <w:top w:w="0.0" w:type="dxa"/>
              <w:left w:w="40.0" w:type="dxa"/>
              <w:bottom w:w="0.0" w:type="dxa"/>
              <w:right w:w="40.0" w:type="dxa"/>
            </w:tcMar>
            <w:vAlign w:val="top"/>
          </w:tcPr>
          <w:p w:rsidR="00000000" w:rsidDel="00000000" w:rsidP="00000000" w:rsidRDefault="00000000" w:rsidRPr="00000000" w14:paraId="0000000C">
            <w:pPr>
              <w:rPr>
                <w:rFonts w:ascii="Calibri" w:cs="Calibri" w:eastAsia="Calibri" w:hAnsi="Calibri"/>
                <w:color w:val="222222"/>
                <w:sz w:val="20"/>
                <w:szCs w:val="20"/>
                <w:highlight w:val="white"/>
              </w:rPr>
            </w:pPr>
            <w:r w:rsidDel="00000000" w:rsidR="00000000" w:rsidRPr="00000000">
              <w:rPr>
                <w:color w:val="222222"/>
                <w:sz w:val="16"/>
                <w:szCs w:val="16"/>
                <w:highlight w:val="white"/>
                <w:rtl w:val="0"/>
              </w:rPr>
              <w:t xml:space="preserve">1670</w:t>
            </w:r>
            <w:r w:rsidDel="00000000" w:rsidR="00000000" w:rsidRPr="00000000">
              <w:rPr>
                <w:rtl w:val="0"/>
              </w:rPr>
            </w:r>
          </w:p>
        </w:tc>
        <w:tc>
          <w:tcPr>
            <w:gridSpan w:val="3"/>
            <w:tcBorders>
              <w:top w:color="d3d3d3" w:space="0" w:sz="4" w:val="single"/>
              <w:left w:color="000000" w:space="0" w:sz="0" w:val="nil"/>
              <w:bottom w:color="d3d3d3" w:space="0" w:sz="4" w:val="single"/>
              <w:right w:color="d3d3d3" w:space="0" w:sz="4" w:val="single"/>
            </w:tcBorders>
            <w:tcMar>
              <w:top w:w="0.0" w:type="dxa"/>
              <w:left w:w="40.0" w:type="dxa"/>
              <w:bottom w:w="0.0" w:type="dxa"/>
              <w:right w:w="40.0" w:type="dxa"/>
            </w:tcMar>
            <w:vAlign w:val="top"/>
          </w:tcPr>
          <w:p w:rsidR="00000000" w:rsidDel="00000000" w:rsidP="00000000" w:rsidRDefault="00000000" w:rsidRPr="00000000" w14:paraId="0000000D">
            <w:pPr>
              <w:rPr>
                <w:rFonts w:ascii="Calibri" w:cs="Calibri" w:eastAsia="Calibri" w:hAnsi="Calibri"/>
                <w:color w:val="222222"/>
                <w:sz w:val="20"/>
                <w:szCs w:val="20"/>
                <w:highlight w:val="white"/>
              </w:rPr>
            </w:pPr>
            <w:r w:rsidDel="00000000" w:rsidR="00000000" w:rsidRPr="00000000">
              <w:rPr>
                <w:color w:val="222222"/>
                <w:sz w:val="16"/>
                <w:szCs w:val="16"/>
                <w:highlight w:val="white"/>
                <w:rtl w:val="0"/>
              </w:rPr>
              <w:t xml:space="preserve">Advanced Career-Nature of Science &amp; Technology</w:t>
            </w:r>
            <w:r w:rsidDel="00000000" w:rsidR="00000000" w:rsidRPr="00000000">
              <w:rPr>
                <w:rtl w:val="0"/>
              </w:rPr>
            </w:r>
          </w:p>
        </w:tc>
        <w:tc>
          <w:tcPr>
            <w:tcBorders>
              <w:top w:color="d3d3d3" w:space="0" w:sz="4" w:val="single"/>
              <w:left w:color="000000" w:space="0" w:sz="0" w:val="nil"/>
              <w:bottom w:color="d3d3d3" w:space="0" w:sz="4" w:val="single"/>
              <w:right w:color="d3d3d3"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10">
            <w:pPr>
              <w:rPr>
                <w:rFonts w:ascii="Calibri" w:cs="Calibri" w:eastAsia="Calibri" w:hAnsi="Calibri"/>
                <w:color w:val="222222"/>
                <w:sz w:val="20"/>
                <w:szCs w:val="20"/>
                <w:highlight w:val="white"/>
              </w:rPr>
            </w:pPr>
            <w:r w:rsidDel="00000000" w:rsidR="00000000" w:rsidRPr="00000000">
              <w:rPr>
                <w:color w:val="222222"/>
                <w:sz w:val="16"/>
                <w:szCs w:val="16"/>
                <w:highlight w:val="white"/>
                <w:rtl w:val="0"/>
              </w:rPr>
              <w:t xml:space="preserve">Advanced Career- Nature of Science and Technology 9 - 12 - This is a contextual-based SREB Advanced Curriculum course that introduces students to the core fundamental concepts of science and technology through authentic projects. Through these projects, students will develop an understanding of the relationship between the physical, biological and social world. Students will gain an understanding of the differences between science and technology, and learn that technology is a process for applying science. Students will develop a deeper understanding of scientific inquiry and the engineering design process when solving real-world problems. Students will experience the interaction of science, technology, engineering, math and literacy through a problem-based learning environment. Finally, the process will require students to use mathematics to analyze costs, develop budgets and make precise measurements to successfully implement project goals. This is the first course in the course sequence.</w:t>
            </w:r>
            <w:r w:rsidDel="00000000" w:rsidR="00000000" w:rsidRPr="00000000">
              <w:rPr>
                <w:rtl w:val="0"/>
              </w:rPr>
            </w:r>
          </w:p>
        </w:tc>
        <w:tc>
          <w:tcPr>
            <w:tcBorders>
              <w:top w:color="d3d3d3" w:space="0" w:sz="4" w:val="single"/>
              <w:left w:color="000000" w:space="0" w:sz="0" w:val="nil"/>
              <w:bottom w:color="d3d3d3" w:space="0" w:sz="4" w:val="single"/>
              <w:right w:color="d3d3d3"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11">
            <w:pPr>
              <w:rPr>
                <w:rFonts w:ascii="Calibri" w:cs="Calibri" w:eastAsia="Calibri" w:hAnsi="Calibri"/>
                <w:color w:val="222222"/>
                <w:sz w:val="20"/>
                <w:szCs w:val="20"/>
                <w:highlight w:val="white"/>
              </w:rPr>
            </w:pPr>
            <w:r w:rsidDel="00000000" w:rsidR="00000000" w:rsidRPr="00000000">
              <w:rPr>
                <w:color w:val="222222"/>
                <w:sz w:val="16"/>
                <w:szCs w:val="16"/>
                <w:highlight w:val="white"/>
                <w:rtl w:val="0"/>
              </w:rPr>
              <w:t xml:space="preserve">09</w:t>
            </w:r>
            <w:r w:rsidDel="00000000" w:rsidR="00000000" w:rsidRPr="00000000">
              <w:rPr>
                <w:rtl w:val="0"/>
              </w:rPr>
            </w:r>
          </w:p>
        </w:tc>
        <w:tc>
          <w:tcPr>
            <w:tcBorders>
              <w:top w:color="d3d3d3" w:space="0" w:sz="4" w:val="single"/>
              <w:left w:color="000000" w:space="0" w:sz="0" w:val="nil"/>
              <w:bottom w:color="d3d3d3" w:space="0" w:sz="4" w:val="single"/>
              <w:right w:color="d3d3d3"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12">
            <w:pPr>
              <w:rPr>
                <w:rFonts w:ascii="Calibri" w:cs="Calibri" w:eastAsia="Calibri" w:hAnsi="Calibri"/>
                <w:color w:val="222222"/>
                <w:sz w:val="20"/>
                <w:szCs w:val="20"/>
                <w:highlight w:val="white"/>
              </w:rPr>
            </w:pPr>
            <w:r w:rsidDel="00000000" w:rsidR="00000000" w:rsidRPr="00000000">
              <w:rPr>
                <w:color w:val="222222"/>
                <w:sz w:val="16"/>
                <w:szCs w:val="16"/>
                <w:highlight w:val="white"/>
                <w:rtl w:val="0"/>
              </w:rPr>
              <w:t xml:space="preserve">12</w:t>
            </w:r>
            <w:r w:rsidDel="00000000" w:rsidR="00000000" w:rsidRPr="00000000">
              <w:rPr>
                <w:rtl w:val="0"/>
              </w:rPr>
            </w:r>
          </w:p>
        </w:tc>
        <w:tc>
          <w:tcPr>
            <w:gridSpan w:val="3"/>
            <w:tcBorders>
              <w:top w:color="d3d3d3" w:space="0" w:sz="4" w:val="single"/>
              <w:left w:color="000000" w:space="0" w:sz="0" w:val="nil"/>
              <w:bottom w:color="d3d3d3" w:space="0" w:sz="4" w:val="single"/>
              <w:right w:color="d3d3d3"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13">
            <w:pPr>
              <w:rPr>
                <w:rFonts w:ascii="Calibri" w:cs="Calibri" w:eastAsia="Calibri" w:hAnsi="Calibri"/>
                <w:color w:val="222222"/>
                <w:sz w:val="20"/>
                <w:szCs w:val="20"/>
                <w:highlight w:val="white"/>
              </w:rPr>
            </w:pPr>
            <w:r w:rsidDel="00000000" w:rsidR="00000000" w:rsidRPr="00000000">
              <w:rPr>
                <w:color w:val="222222"/>
                <w:sz w:val="16"/>
                <w:szCs w:val="16"/>
                <w:highlight w:val="white"/>
                <w:rtl w:val="0"/>
              </w:rPr>
              <w:t xml:space="preserve">No</w:t>
            </w:r>
            <w:r w:rsidDel="00000000" w:rsidR="00000000" w:rsidRPr="00000000">
              <w:rPr>
                <w:rtl w:val="0"/>
              </w:rPr>
            </w:r>
          </w:p>
        </w:tc>
        <w:tc>
          <w:tcPr>
            <w:gridSpan w:val="2"/>
            <w:tcBorders>
              <w:top w:color="d3d3d3" w:space="0" w:sz="4" w:val="single"/>
              <w:left w:color="000000" w:space="0" w:sz="0" w:val="nil"/>
              <w:bottom w:color="d3d3d3" w:space="0" w:sz="4" w:val="single"/>
              <w:right w:color="d3d3d3"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16">
            <w:pPr>
              <w:rPr>
                <w:color w:val="222222"/>
                <w:sz w:val="16"/>
                <w:szCs w:val="16"/>
                <w:highlight w:val="white"/>
              </w:rPr>
            </w:pPr>
            <w:r w:rsidDel="00000000" w:rsidR="00000000" w:rsidRPr="00000000">
              <w:rPr>
                <w:color w:val="222222"/>
                <w:sz w:val="16"/>
                <w:szCs w:val="16"/>
                <w:highlight w:val="white"/>
                <w:rtl w:val="0"/>
              </w:rPr>
              <w:t xml:space="preserve">Technology Education</w:t>
            </w:r>
          </w:p>
          <w:p w:rsidR="00000000" w:rsidDel="00000000" w:rsidP="00000000" w:rsidRDefault="00000000" w:rsidRPr="00000000" w14:paraId="00000017">
            <w:pPr>
              <w:rPr>
                <w:color w:val="222222"/>
                <w:sz w:val="16"/>
                <w:szCs w:val="16"/>
                <w:highlight w:val="white"/>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Community Connections Course </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shd w:fill="ffffff" w:val="clear"/>
        <w:rPr>
          <w:b w:val="1"/>
          <w:color w:val="222222"/>
        </w:rPr>
      </w:pPr>
      <w:r w:rsidDel="00000000" w:rsidR="00000000" w:rsidRPr="00000000">
        <w:rPr>
          <w:b w:val="1"/>
          <w:color w:val="222222"/>
          <w:rtl w:val="0"/>
        </w:rPr>
        <w:t xml:space="preserve">#2 Community Service</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9.68321013727564"/>
        <w:gridCol w:w="333.3333333333332"/>
        <w:gridCol w:w="380.82365364308345"/>
        <w:gridCol w:w="1266.8215417106653"/>
        <w:gridCol w:w="333.3333333333332"/>
        <w:gridCol w:w="333.3333333333332"/>
        <w:gridCol w:w="3489.5881731784584"/>
        <w:gridCol w:w="256.4730728616684"/>
        <w:gridCol w:w="240.92925026399158"/>
        <w:gridCol w:w="388.5955649419219"/>
        <w:gridCol w:w="333.3333333333332"/>
        <w:gridCol w:w="333.3333333333332"/>
        <w:gridCol w:w="917.0855332629357"/>
        <w:gridCol w:w="333.3333333333332"/>
        <w:tblGridChange w:id="0">
          <w:tblGrid>
            <w:gridCol w:w="419.68321013727564"/>
            <w:gridCol w:w="333.3333333333332"/>
            <w:gridCol w:w="380.82365364308345"/>
            <w:gridCol w:w="1266.8215417106653"/>
            <w:gridCol w:w="333.3333333333332"/>
            <w:gridCol w:w="333.3333333333332"/>
            <w:gridCol w:w="3489.5881731784584"/>
            <w:gridCol w:w="256.4730728616684"/>
            <w:gridCol w:w="240.92925026399158"/>
            <w:gridCol w:w="388.5955649419219"/>
            <w:gridCol w:w="333.3333333333332"/>
            <w:gridCol w:w="333.3333333333332"/>
            <w:gridCol w:w="917.0855332629357"/>
            <w:gridCol w:w="333.3333333333332"/>
          </w:tblGrid>
        </w:tblGridChange>
      </w:tblGrid>
      <w:tr>
        <w:trPr>
          <w:cantSplit w:val="0"/>
          <w:trHeight w:val="1225" w:hRule="atLeast"/>
          <w:tblHeader w:val="0"/>
        </w:trPr>
        <w:tc>
          <w:tcPr>
            <w:gridSpan w:val="2"/>
            <w:tcBorders>
              <w:top w:color="d3d3d3" w:space="0" w:sz="4" w:val="single"/>
              <w:left w:color="d3d3d3" w:space="0" w:sz="4" w:val="single"/>
              <w:bottom w:color="d3d3d3" w:space="0" w:sz="4" w:val="single"/>
              <w:right w:color="d3d3d3" w:space="0" w:sz="4" w:val="single"/>
            </w:tcBorders>
            <w:tcMar>
              <w:top w:w="20.0" w:type="dxa"/>
              <w:left w:w="20.0" w:type="dxa"/>
              <w:bottom w:w="100.0" w:type="dxa"/>
              <w:right w:w="20.0" w:type="dxa"/>
            </w:tcMar>
            <w:vAlign w:val="top"/>
          </w:tcPr>
          <w:p w:rsidR="00000000" w:rsidDel="00000000" w:rsidP="00000000" w:rsidRDefault="00000000" w:rsidRPr="00000000" w14:paraId="0000001F">
            <w:pPr>
              <w:rPr>
                <w:color w:val="222222"/>
              </w:rPr>
            </w:pPr>
            <w:r w:rsidDel="00000000" w:rsidR="00000000" w:rsidRPr="00000000">
              <w:rPr>
                <w:color w:val="222222"/>
                <w:sz w:val="16"/>
                <w:szCs w:val="16"/>
                <w:rtl w:val="0"/>
              </w:rPr>
              <w:t xml:space="preserve">2026</w:t>
            </w:r>
            <w:r w:rsidDel="00000000" w:rsidR="00000000" w:rsidRPr="00000000">
              <w:rPr>
                <w:rtl w:val="0"/>
              </w:rPr>
            </w:r>
          </w:p>
        </w:tc>
        <w:tc>
          <w:tcPr>
            <w:tcBorders>
              <w:top w:color="d3d3d3" w:space="0" w:sz="4" w:val="single"/>
              <w:left w:color="000000" w:space="0" w:sz="0" w:val="nil"/>
              <w:bottom w:color="d3d3d3" w:space="0" w:sz="4" w:val="single"/>
              <w:right w:color="d3d3d3" w:space="0" w:sz="4" w:val="single"/>
            </w:tcBorders>
            <w:shd w:fill="auto" w:val="clear"/>
            <w:tcMar>
              <w:top w:w="20.0" w:type="dxa"/>
              <w:left w:w="20.0" w:type="dxa"/>
              <w:bottom w:w="100.0" w:type="dxa"/>
              <w:right w:w="20.0" w:type="dxa"/>
            </w:tcMar>
            <w:vAlign w:val="top"/>
          </w:tcPr>
          <w:p w:rsidR="00000000" w:rsidDel="00000000" w:rsidP="00000000" w:rsidRDefault="00000000" w:rsidRPr="00000000" w14:paraId="00000021">
            <w:pPr>
              <w:rPr>
                <w:color w:val="222222"/>
              </w:rPr>
            </w:pPr>
            <w:r w:rsidDel="00000000" w:rsidR="00000000" w:rsidRPr="00000000">
              <w:rPr>
                <w:color w:val="222222"/>
                <w:sz w:val="16"/>
                <w:szCs w:val="16"/>
                <w:rtl w:val="0"/>
              </w:rPr>
              <w:t xml:space="preserve">0851</w:t>
            </w:r>
            <w:r w:rsidDel="00000000" w:rsidR="00000000" w:rsidRPr="00000000">
              <w:rPr>
                <w:rtl w:val="0"/>
              </w:rPr>
            </w:r>
          </w:p>
        </w:tc>
        <w:tc>
          <w:tcPr>
            <w:gridSpan w:val="3"/>
            <w:tcBorders>
              <w:top w:color="d3d3d3" w:space="0" w:sz="4" w:val="single"/>
              <w:left w:color="000000" w:space="0" w:sz="0" w:val="nil"/>
              <w:bottom w:color="d3d3d3" w:space="0" w:sz="4" w:val="single"/>
              <w:right w:color="d3d3d3" w:space="0" w:sz="4" w:val="single"/>
            </w:tcBorders>
            <w:shd w:fill="auto" w:val="clear"/>
            <w:tcMar>
              <w:top w:w="20.0" w:type="dxa"/>
              <w:left w:w="20.0" w:type="dxa"/>
              <w:bottom w:w="100.0" w:type="dxa"/>
              <w:right w:w="20.0" w:type="dxa"/>
            </w:tcMar>
            <w:vAlign w:val="top"/>
          </w:tcPr>
          <w:p w:rsidR="00000000" w:rsidDel="00000000" w:rsidP="00000000" w:rsidRDefault="00000000" w:rsidRPr="00000000" w14:paraId="00000022">
            <w:pPr>
              <w:rPr>
                <w:color w:val="222222"/>
              </w:rPr>
            </w:pPr>
            <w:r w:rsidDel="00000000" w:rsidR="00000000" w:rsidRPr="00000000">
              <w:rPr>
                <w:color w:val="222222"/>
                <w:sz w:val="16"/>
                <w:szCs w:val="16"/>
                <w:rtl w:val="0"/>
              </w:rPr>
              <w:t xml:space="preserve">Community Service</w:t>
            </w:r>
            <w:r w:rsidDel="00000000" w:rsidR="00000000" w:rsidRPr="00000000">
              <w:rPr>
                <w:rtl w:val="0"/>
              </w:rPr>
            </w:r>
          </w:p>
        </w:tc>
        <w:tc>
          <w:tcPr>
            <w:tcBorders>
              <w:top w:color="d3d3d3" w:space="0" w:sz="4" w:val="single"/>
              <w:left w:color="000000" w:space="0" w:sz="0" w:val="nil"/>
              <w:bottom w:color="d3d3d3" w:space="0" w:sz="4" w:val="single"/>
              <w:right w:color="d3d3d3" w:space="0" w:sz="4" w:val="single"/>
            </w:tcBorders>
            <w:shd w:fill="auto" w:val="clear"/>
            <w:tcMar>
              <w:top w:w="20.0" w:type="dxa"/>
              <w:left w:w="20.0" w:type="dxa"/>
              <w:bottom w:w="100.0" w:type="dxa"/>
              <w:right w:w="20.0" w:type="dxa"/>
            </w:tcMar>
            <w:vAlign w:val="top"/>
          </w:tcPr>
          <w:p w:rsidR="00000000" w:rsidDel="00000000" w:rsidP="00000000" w:rsidRDefault="00000000" w:rsidRPr="00000000" w14:paraId="00000025">
            <w:pPr>
              <w:rPr>
                <w:color w:val="222222"/>
              </w:rPr>
            </w:pPr>
            <w:r w:rsidDel="00000000" w:rsidR="00000000" w:rsidRPr="00000000">
              <w:rPr>
                <w:color w:val="222222"/>
                <w:sz w:val="16"/>
                <w:szCs w:val="16"/>
                <w:rtl w:val="0"/>
              </w:rPr>
              <w:t xml:space="preserve">Community Service - Course provides students with the opportunity to receive school credit for volunteering their time, energy, and talents in a community service organization and public schools.  The courses are usually (but not always) conducted with a seminar component, so that students' volunteer experiences can be used as learning experiences in problem solving, decision-making, and effective communication.</w:t>
            </w:r>
            <w:r w:rsidDel="00000000" w:rsidR="00000000" w:rsidRPr="00000000">
              <w:rPr>
                <w:rtl w:val="0"/>
              </w:rPr>
            </w:r>
          </w:p>
        </w:tc>
        <w:tc>
          <w:tcPr>
            <w:tcBorders>
              <w:top w:color="d3d3d3" w:space="0" w:sz="4" w:val="single"/>
              <w:left w:color="000000" w:space="0" w:sz="0" w:val="nil"/>
              <w:bottom w:color="d3d3d3" w:space="0" w:sz="4" w:val="single"/>
              <w:right w:color="d3d3d3" w:space="0" w:sz="4" w:val="single"/>
            </w:tcBorders>
            <w:shd w:fill="auto" w:val="clear"/>
            <w:tcMar>
              <w:top w:w="20.0" w:type="dxa"/>
              <w:left w:w="20.0" w:type="dxa"/>
              <w:bottom w:w="100.0" w:type="dxa"/>
              <w:right w:w="20.0" w:type="dxa"/>
            </w:tcMar>
            <w:vAlign w:val="top"/>
          </w:tcPr>
          <w:p w:rsidR="00000000" w:rsidDel="00000000" w:rsidP="00000000" w:rsidRDefault="00000000" w:rsidRPr="00000000" w14:paraId="00000026">
            <w:pPr>
              <w:rPr>
                <w:color w:val="222222"/>
              </w:rPr>
            </w:pPr>
            <w:r w:rsidDel="00000000" w:rsidR="00000000" w:rsidRPr="00000000">
              <w:rPr>
                <w:color w:val="222222"/>
                <w:sz w:val="16"/>
                <w:szCs w:val="16"/>
                <w:rtl w:val="0"/>
              </w:rPr>
              <w:t xml:space="preserve">06</w:t>
            </w:r>
            <w:r w:rsidDel="00000000" w:rsidR="00000000" w:rsidRPr="00000000">
              <w:rPr>
                <w:rtl w:val="0"/>
              </w:rPr>
            </w:r>
          </w:p>
        </w:tc>
        <w:tc>
          <w:tcPr>
            <w:tcBorders>
              <w:top w:color="d3d3d3" w:space="0" w:sz="4" w:val="single"/>
              <w:left w:color="000000" w:space="0" w:sz="0" w:val="nil"/>
              <w:bottom w:color="d3d3d3" w:space="0" w:sz="4" w:val="single"/>
              <w:right w:color="d3d3d3" w:space="0" w:sz="4" w:val="single"/>
            </w:tcBorders>
            <w:shd w:fill="auto" w:val="clear"/>
            <w:tcMar>
              <w:top w:w="20.0" w:type="dxa"/>
              <w:left w:w="20.0" w:type="dxa"/>
              <w:bottom w:w="100.0" w:type="dxa"/>
              <w:right w:w="20.0" w:type="dxa"/>
            </w:tcMar>
            <w:vAlign w:val="top"/>
          </w:tcPr>
          <w:p w:rsidR="00000000" w:rsidDel="00000000" w:rsidP="00000000" w:rsidRDefault="00000000" w:rsidRPr="00000000" w14:paraId="00000027">
            <w:pPr>
              <w:rPr>
                <w:color w:val="222222"/>
              </w:rPr>
            </w:pPr>
            <w:r w:rsidDel="00000000" w:rsidR="00000000" w:rsidRPr="00000000">
              <w:rPr>
                <w:color w:val="222222"/>
                <w:sz w:val="16"/>
                <w:szCs w:val="16"/>
                <w:rtl w:val="0"/>
              </w:rPr>
              <w:t xml:space="preserve">12</w:t>
            </w:r>
            <w:r w:rsidDel="00000000" w:rsidR="00000000" w:rsidRPr="00000000">
              <w:rPr>
                <w:rtl w:val="0"/>
              </w:rPr>
            </w:r>
          </w:p>
        </w:tc>
        <w:tc>
          <w:tcPr>
            <w:gridSpan w:val="3"/>
            <w:tcBorders>
              <w:top w:color="d3d3d3" w:space="0" w:sz="4" w:val="single"/>
              <w:left w:color="000000" w:space="0" w:sz="0" w:val="nil"/>
              <w:bottom w:color="d3d3d3" w:space="0" w:sz="4" w:val="single"/>
              <w:right w:color="d3d3d3" w:space="0" w:sz="4" w:val="single"/>
            </w:tcBorders>
            <w:shd w:fill="auto" w:val="clear"/>
            <w:tcMar>
              <w:top w:w="20.0" w:type="dxa"/>
              <w:left w:w="20.0" w:type="dxa"/>
              <w:bottom w:w="100.0" w:type="dxa"/>
              <w:right w:w="20.0" w:type="dxa"/>
            </w:tcMar>
            <w:vAlign w:val="top"/>
          </w:tcPr>
          <w:p w:rsidR="00000000" w:rsidDel="00000000" w:rsidP="00000000" w:rsidRDefault="00000000" w:rsidRPr="00000000" w14:paraId="00000028">
            <w:pPr>
              <w:rPr>
                <w:color w:val="222222"/>
              </w:rPr>
            </w:pPr>
            <w:r w:rsidDel="00000000" w:rsidR="00000000" w:rsidRPr="00000000">
              <w:rPr>
                <w:color w:val="222222"/>
                <w:sz w:val="16"/>
                <w:szCs w:val="16"/>
                <w:rtl w:val="0"/>
              </w:rPr>
              <w:t xml:space="preserve">No</w:t>
            </w:r>
            <w:r w:rsidDel="00000000" w:rsidR="00000000" w:rsidRPr="00000000">
              <w:rPr>
                <w:rtl w:val="0"/>
              </w:rPr>
            </w:r>
          </w:p>
        </w:tc>
        <w:tc>
          <w:tcPr>
            <w:gridSpan w:val="2"/>
            <w:tcBorders>
              <w:top w:color="d3d3d3" w:space="0" w:sz="4" w:val="single"/>
              <w:left w:color="000000" w:space="0" w:sz="0" w:val="nil"/>
              <w:bottom w:color="d3d3d3" w:space="0" w:sz="4" w:val="single"/>
              <w:right w:color="d3d3d3" w:space="0" w:sz="4" w:val="single"/>
            </w:tcBorders>
            <w:shd w:fill="auto" w:val="clear"/>
            <w:tcMar>
              <w:top w:w="20.0" w:type="dxa"/>
              <w:left w:w="20.0" w:type="dxa"/>
              <w:bottom w:w="100.0" w:type="dxa"/>
              <w:right w:w="20.0" w:type="dxa"/>
            </w:tcMar>
            <w:vAlign w:val="top"/>
          </w:tcPr>
          <w:p w:rsidR="00000000" w:rsidDel="00000000" w:rsidP="00000000" w:rsidRDefault="00000000" w:rsidRPr="00000000" w14:paraId="0000002B">
            <w:pPr>
              <w:rPr>
                <w:color w:val="222222"/>
              </w:rPr>
            </w:pPr>
            <w:r w:rsidDel="00000000" w:rsidR="00000000" w:rsidRPr="00000000">
              <w:rPr>
                <w:color w:val="222222"/>
                <w:sz w:val="16"/>
                <w:szCs w:val="16"/>
                <w:rtl w:val="0"/>
              </w:rPr>
              <w:t xml:space="preserve">Elective Activities</w:t>
            </w:r>
            <w:r w:rsidDel="00000000" w:rsidR="00000000" w:rsidRPr="00000000">
              <w:rPr>
                <w:rtl w:val="0"/>
              </w:rPr>
            </w:r>
          </w:p>
        </w:tc>
      </w:tr>
    </w:tbl>
    <w:p w:rsidR="00000000" w:rsidDel="00000000" w:rsidP="00000000" w:rsidRDefault="00000000" w:rsidRPr="00000000" w14:paraId="0000002D">
      <w:pPr>
        <w:shd w:fill="ffffff"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